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D1" w:rsidRDefault="004C3AD1" w:rsidP="004C3AD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БЕЛГОРОДСКАЯ   ОБЛАСТЬ</w:t>
      </w:r>
    </w:p>
    <w:p w:rsidR="004C3AD1" w:rsidRDefault="004C3AD1" w:rsidP="004C3AD1">
      <w:pPr>
        <w:jc w:val="center"/>
        <w:rPr>
          <w:rFonts w:ascii="Arial" w:hAnsi="Arial"/>
          <w:b/>
          <w:sz w:val="20"/>
          <w:szCs w:val="20"/>
        </w:rPr>
      </w:pPr>
    </w:p>
    <w:p w:rsidR="004C3AD1" w:rsidRDefault="004C3AD1" w:rsidP="004C3AD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4C3AD1" w:rsidRDefault="001C516D" w:rsidP="004C3AD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ПОПОВСКОГО</w:t>
      </w:r>
      <w:r w:rsidR="004C3AD1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4C3AD1" w:rsidRDefault="004C3AD1" w:rsidP="004C3AD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4C3AD1" w:rsidRPr="00085D28" w:rsidRDefault="004C3AD1" w:rsidP="004C3AD1">
      <w:pPr>
        <w:jc w:val="center"/>
        <w:rPr>
          <w:rFonts w:ascii="Arial" w:hAnsi="Arial"/>
          <w:b/>
          <w:sz w:val="28"/>
          <w:szCs w:val="28"/>
        </w:rPr>
      </w:pPr>
    </w:p>
    <w:p w:rsidR="004C3AD1" w:rsidRDefault="004C3AD1" w:rsidP="004C3AD1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</w:t>
      </w:r>
    </w:p>
    <w:p w:rsidR="004C3AD1" w:rsidRDefault="004C3AD1" w:rsidP="004C3AD1">
      <w:pPr>
        <w:jc w:val="center"/>
        <w:rPr>
          <w:rFonts w:ascii="Arial" w:hAnsi="Arial"/>
          <w:b/>
          <w:sz w:val="32"/>
          <w:szCs w:val="28"/>
        </w:rPr>
      </w:pPr>
    </w:p>
    <w:p w:rsidR="004C3AD1" w:rsidRDefault="001C516D" w:rsidP="004C3AD1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Поповка</w:t>
      </w:r>
    </w:p>
    <w:p w:rsidR="00746315" w:rsidRDefault="00746315" w:rsidP="004C3AD1">
      <w:pPr>
        <w:jc w:val="center"/>
        <w:rPr>
          <w:rFonts w:ascii="Arial" w:hAnsi="Arial"/>
          <w:b/>
          <w:sz w:val="17"/>
          <w:szCs w:val="28"/>
        </w:rPr>
      </w:pPr>
    </w:p>
    <w:p w:rsidR="004C3AD1" w:rsidRDefault="004C3AD1" w:rsidP="004C3AD1">
      <w:pPr>
        <w:jc w:val="center"/>
        <w:rPr>
          <w:rFonts w:ascii="Calibri" w:hAnsi="Calibri"/>
          <w:b/>
          <w:bCs/>
          <w:sz w:val="4"/>
          <w:szCs w:val="4"/>
        </w:rPr>
      </w:pPr>
    </w:p>
    <w:p w:rsidR="004C3AD1" w:rsidRPr="007D19E9" w:rsidRDefault="001C516D" w:rsidP="004C3AD1">
      <w:pPr>
        <w:rPr>
          <w:rFonts w:ascii="Arial" w:hAnsi="Arial"/>
        </w:rPr>
      </w:pPr>
      <w:r w:rsidRPr="007D19E9">
        <w:rPr>
          <w:rFonts w:ascii="Arial" w:hAnsi="Arial"/>
        </w:rPr>
        <w:t>«</w:t>
      </w:r>
      <w:r w:rsidR="007D19E9" w:rsidRPr="007D19E9">
        <w:rPr>
          <w:rFonts w:ascii="Arial" w:hAnsi="Arial"/>
        </w:rPr>
        <w:t>17</w:t>
      </w:r>
      <w:r w:rsidRPr="007D19E9">
        <w:rPr>
          <w:rFonts w:ascii="Arial" w:hAnsi="Arial"/>
        </w:rPr>
        <w:t xml:space="preserve">» </w:t>
      </w:r>
      <w:r w:rsidR="007D19E9" w:rsidRPr="007D19E9">
        <w:rPr>
          <w:rFonts w:ascii="Arial" w:hAnsi="Arial"/>
        </w:rPr>
        <w:t>февраля</w:t>
      </w:r>
      <w:r w:rsidR="00746315" w:rsidRPr="007D19E9">
        <w:rPr>
          <w:rFonts w:ascii="Arial" w:hAnsi="Arial"/>
        </w:rPr>
        <w:t xml:space="preserve"> 2025 </w:t>
      </w:r>
      <w:r w:rsidR="004C3AD1" w:rsidRPr="007D19E9">
        <w:rPr>
          <w:rFonts w:ascii="Arial" w:hAnsi="Arial"/>
        </w:rPr>
        <w:t xml:space="preserve"> года                                                                </w:t>
      </w:r>
      <w:r w:rsidR="00746315" w:rsidRPr="007D19E9">
        <w:rPr>
          <w:rFonts w:ascii="Arial" w:hAnsi="Arial"/>
        </w:rPr>
        <w:t xml:space="preserve">                            № </w:t>
      </w:r>
      <w:r w:rsidR="007D19E9" w:rsidRPr="007D19E9">
        <w:rPr>
          <w:rFonts w:ascii="Arial" w:hAnsi="Arial"/>
        </w:rPr>
        <w:t>7-р</w:t>
      </w:r>
    </w:p>
    <w:p w:rsidR="004C3AD1" w:rsidRPr="00C85B39" w:rsidRDefault="004C3AD1" w:rsidP="004C3AD1">
      <w:pPr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3AD1" w:rsidRPr="00C85B39" w:rsidRDefault="004C3AD1" w:rsidP="004C3AD1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15" w:rsidRPr="00C85B39" w:rsidRDefault="00F60A15" w:rsidP="00F60A15">
      <w:pPr>
        <w:rPr>
          <w:rFonts w:ascii="Times New Roman" w:hAnsi="Times New Roman" w:cs="Times New Roman"/>
          <w:b/>
          <w:sz w:val="28"/>
          <w:szCs w:val="28"/>
        </w:rPr>
      </w:pPr>
    </w:p>
    <w:p w:rsidR="00F60A15" w:rsidRPr="00F60A15" w:rsidRDefault="00F60A15" w:rsidP="00513602">
      <w:pPr>
        <w:tabs>
          <w:tab w:val="left" w:pos="709"/>
        </w:tabs>
        <w:ind w:right="453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C3AD1">
        <w:rPr>
          <w:rFonts w:ascii="Times New Roman" w:hAnsi="Times New Roman" w:cs="Times New Roman"/>
          <w:b/>
          <w:sz w:val="28"/>
          <w:szCs w:val="28"/>
        </w:rPr>
        <w:t>П</w:t>
      </w:r>
      <w:r w:rsidRPr="00F60A15">
        <w:rPr>
          <w:rFonts w:ascii="Times New Roman" w:hAnsi="Times New Roman" w:cs="Times New Roman"/>
          <w:b/>
          <w:sz w:val="28"/>
          <w:szCs w:val="28"/>
        </w:rPr>
        <w:t>еречня отдельных видов товаров,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работ, услуг,</w:t>
      </w:r>
      <w:r w:rsidR="004C3AD1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потребительские </w:t>
      </w:r>
      <w:r w:rsidR="004C3AD1">
        <w:rPr>
          <w:rFonts w:ascii="Times New Roman" w:hAnsi="Times New Roman" w:cs="Times New Roman"/>
          <w:b/>
          <w:sz w:val="28"/>
          <w:szCs w:val="28"/>
        </w:rPr>
        <w:t xml:space="preserve">свойства (в том числе качество) и </w:t>
      </w:r>
      <w:r w:rsidRPr="00F60A15">
        <w:rPr>
          <w:rFonts w:ascii="Times New Roman" w:hAnsi="Times New Roman" w:cs="Times New Roman"/>
          <w:b/>
          <w:sz w:val="28"/>
          <w:szCs w:val="28"/>
        </w:rPr>
        <w:t>иные характеристики (в том числе предельные цены</w:t>
      </w:r>
      <w:r w:rsidR="00513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D1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услуг) к ним,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закупаемых </w:t>
      </w:r>
      <w:r w:rsidR="004C3AD1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</w:t>
      </w:r>
      <w:r w:rsidR="001C516D">
        <w:rPr>
          <w:rFonts w:ascii="Times New Roman" w:hAnsi="Times New Roman" w:cs="Times New Roman"/>
          <w:b/>
          <w:noProof/>
          <w:sz w:val="28"/>
          <w:szCs w:val="28"/>
        </w:rPr>
        <w:t>Поповского</w:t>
      </w:r>
      <w:r w:rsidR="00C85B39">
        <w:rPr>
          <w:rFonts w:ascii="Times New Roman" w:hAnsi="Times New Roman" w:cs="Times New Roman"/>
          <w:b/>
          <w:noProof/>
          <w:sz w:val="28"/>
          <w:szCs w:val="28"/>
        </w:rPr>
        <w:t xml:space="preserve"> сельского поселения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>муниципального</w:t>
      </w:r>
      <w:r w:rsidR="004C3AD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района </w:t>
      </w:r>
      <w:r w:rsidR="004C3AD1">
        <w:rPr>
          <w:rFonts w:ascii="Times New Roman" w:hAnsi="Times New Roman" w:cs="Times New Roman"/>
          <w:b/>
          <w:noProof/>
          <w:sz w:val="28"/>
          <w:szCs w:val="28"/>
        </w:rPr>
        <w:t xml:space="preserve">«Корочанский район» </w:t>
      </w:r>
    </w:p>
    <w:p w:rsidR="00F60A15" w:rsidRDefault="00F60A15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AD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9E9" w:rsidRPr="00F60A15" w:rsidRDefault="007D19E9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5" w:rsidRPr="00CE1226" w:rsidRDefault="00F60A15" w:rsidP="004C3A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A15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 </w:t>
      </w:r>
      <w:r w:rsidR="00CE1226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15">
        <w:rPr>
          <w:rFonts w:ascii="Times New Roman" w:hAnsi="Times New Roman" w:cs="Times New Roman"/>
          <w:sz w:val="28"/>
          <w:szCs w:val="28"/>
        </w:rPr>
        <w:t>05 апреля 2013 года № 44-ФЗ «О контрактной системе в</w:t>
      </w:r>
      <w:r w:rsidR="004C3AD1">
        <w:rPr>
          <w:rFonts w:ascii="Times New Roman" w:hAnsi="Times New Roman" w:cs="Times New Roman"/>
          <w:sz w:val="28"/>
          <w:szCs w:val="28"/>
        </w:rPr>
        <w:t xml:space="preserve"> сфере закупок товаров,  работ и услуг </w:t>
      </w:r>
      <w:r w:rsidRPr="00F60A15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нужд», постановлен</w:t>
      </w:r>
      <w:r w:rsidR="004C3AD1">
        <w:rPr>
          <w:rFonts w:ascii="Times New Roman" w:hAnsi="Times New Roman" w:cs="Times New Roman"/>
          <w:sz w:val="28"/>
          <w:szCs w:val="28"/>
        </w:rPr>
        <w:t xml:space="preserve">ием Правительства Российской </w:t>
      </w:r>
      <w:r w:rsidRPr="00F60A15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Pr="00F60A15">
        <w:rPr>
          <w:rFonts w:ascii="Times New Roman" w:hAnsi="Times New Roman" w:cs="Times New Roman"/>
          <w:sz w:val="28"/>
          <w:szCs w:val="28"/>
        </w:rPr>
        <w:t xml:space="preserve"> 2015 года № </w:t>
      </w:r>
      <w:r w:rsidR="004C3AD1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926 «Об</w:t>
      </w:r>
      <w:r w:rsidR="004C3AD1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4C3AD1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Общих</w:t>
      </w:r>
      <w:r w:rsidR="004C3AD1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правил определения</w:t>
      </w:r>
      <w:r w:rsidR="004C3AD1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требований к закупаемым заказчиками отдельным видам товаров, работ, услуг (в том числе</w:t>
      </w:r>
      <w:proofErr w:type="gramEnd"/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 xml:space="preserve">предельных цен товаров, работ, услуг)», </w:t>
      </w:r>
      <w:r w:rsidR="00CE1226" w:rsidRPr="00CE12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E1226">
        <w:rPr>
          <w:rFonts w:ascii="Times New Roman" w:hAnsi="Times New Roman" w:cs="Times New Roman"/>
          <w:sz w:val="28"/>
          <w:szCs w:val="28"/>
        </w:rPr>
        <w:t xml:space="preserve">Поповского сельского поселения </w:t>
      </w:r>
      <w:r w:rsidRPr="00CE1226">
        <w:rPr>
          <w:rFonts w:ascii="Times New Roman" w:hAnsi="Times New Roman" w:cs="Times New Roman"/>
          <w:noProof/>
          <w:sz w:val="28"/>
          <w:szCs w:val="28"/>
        </w:rPr>
        <w:t>муниципально</w:t>
      </w:r>
      <w:r w:rsidR="004C3AD1" w:rsidRPr="00CE1226">
        <w:rPr>
          <w:rFonts w:ascii="Times New Roman" w:hAnsi="Times New Roman" w:cs="Times New Roman"/>
          <w:noProof/>
          <w:sz w:val="28"/>
          <w:szCs w:val="28"/>
        </w:rPr>
        <w:t xml:space="preserve">го района «Корочанский район» от </w:t>
      </w:r>
      <w:r w:rsidR="00CE1226" w:rsidRPr="00CE1226">
        <w:rPr>
          <w:rFonts w:ascii="Times New Roman" w:hAnsi="Times New Roman" w:cs="Times New Roman"/>
          <w:noProof/>
          <w:sz w:val="28"/>
          <w:szCs w:val="28"/>
        </w:rPr>
        <w:t>03 декабря</w:t>
      </w:r>
      <w:r w:rsidR="00D71A68" w:rsidRPr="00CE1226">
        <w:rPr>
          <w:rFonts w:ascii="Times New Roman" w:hAnsi="Times New Roman" w:cs="Times New Roman"/>
          <w:noProof/>
          <w:sz w:val="28"/>
          <w:szCs w:val="28"/>
        </w:rPr>
        <w:t xml:space="preserve"> 2024</w:t>
      </w:r>
      <w:r w:rsidR="004C3AD1" w:rsidRPr="00CE1226">
        <w:rPr>
          <w:rFonts w:ascii="Times New Roman" w:hAnsi="Times New Roman" w:cs="Times New Roman"/>
          <w:noProof/>
          <w:sz w:val="28"/>
          <w:szCs w:val="28"/>
        </w:rPr>
        <w:t xml:space="preserve"> года </w:t>
      </w:r>
      <w:r w:rsidRPr="00CE1226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CE1226" w:rsidRPr="00CE1226">
        <w:rPr>
          <w:rFonts w:ascii="Times New Roman" w:hAnsi="Times New Roman" w:cs="Times New Roman"/>
          <w:noProof/>
          <w:sz w:val="28"/>
          <w:szCs w:val="28"/>
        </w:rPr>
        <w:t>38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«Об утверждении Требований </w:t>
      </w:r>
      <w:r w:rsidRPr="00CE1226"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1C516D" w:rsidRPr="00CE1226">
        <w:rPr>
          <w:rFonts w:ascii="Times New Roman" w:hAnsi="Times New Roman" w:cs="Times New Roman"/>
          <w:sz w:val="28"/>
          <w:szCs w:val="28"/>
        </w:rPr>
        <w:t>Поповского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1226">
        <w:rPr>
          <w:rFonts w:ascii="Times New Roman" w:hAnsi="Times New Roman" w:cs="Times New Roman"/>
          <w:sz w:val="28"/>
          <w:szCs w:val="28"/>
        </w:rPr>
        <w:t>муниципального района «Корочанский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</w:t>
      </w:r>
      <w:r w:rsidRPr="00CE1226">
        <w:rPr>
          <w:rFonts w:ascii="Times New Roman" w:hAnsi="Times New Roman" w:cs="Times New Roman"/>
          <w:sz w:val="28"/>
          <w:szCs w:val="28"/>
        </w:rPr>
        <w:t>район», содержанию указанных актов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</w:t>
      </w:r>
      <w:r w:rsidRPr="00CE1226">
        <w:rPr>
          <w:rFonts w:ascii="Times New Roman" w:hAnsi="Times New Roman" w:cs="Times New Roman"/>
          <w:sz w:val="28"/>
          <w:szCs w:val="28"/>
        </w:rPr>
        <w:t xml:space="preserve">и обеспечению их исполнения», постановлением администрации </w:t>
      </w:r>
      <w:r w:rsidR="001C516D" w:rsidRPr="00CE1226">
        <w:rPr>
          <w:rFonts w:ascii="Times New Roman" w:hAnsi="Times New Roman" w:cs="Times New Roman"/>
          <w:sz w:val="28"/>
          <w:szCs w:val="28"/>
        </w:rPr>
        <w:t>Поповского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1226">
        <w:rPr>
          <w:rFonts w:ascii="Times New Roman" w:hAnsi="Times New Roman" w:cs="Times New Roman"/>
          <w:sz w:val="28"/>
          <w:szCs w:val="28"/>
        </w:rPr>
        <w:t xml:space="preserve"> </w:t>
      </w:r>
      <w:r w:rsidRPr="00CE1226">
        <w:rPr>
          <w:rFonts w:ascii="Times New Roman" w:hAnsi="Times New Roman" w:cs="Times New Roman"/>
          <w:noProof/>
          <w:sz w:val="28"/>
          <w:szCs w:val="28"/>
        </w:rPr>
        <w:t>муниципального района</w:t>
      </w:r>
      <w:proofErr w:type="gramEnd"/>
      <w:r w:rsidRPr="00CE1226">
        <w:rPr>
          <w:rFonts w:ascii="Times New Roman" w:hAnsi="Times New Roman" w:cs="Times New Roman"/>
          <w:noProof/>
          <w:sz w:val="28"/>
          <w:szCs w:val="28"/>
        </w:rPr>
        <w:t xml:space="preserve"> «Корочанский</w:t>
      </w:r>
      <w:r w:rsidR="004C3AD1" w:rsidRPr="00CE12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E1226">
        <w:rPr>
          <w:rFonts w:ascii="Times New Roman" w:hAnsi="Times New Roman" w:cs="Times New Roman"/>
          <w:noProof/>
          <w:sz w:val="28"/>
          <w:szCs w:val="28"/>
        </w:rPr>
        <w:t xml:space="preserve">район» от </w:t>
      </w:r>
      <w:r w:rsidR="00CE1226" w:rsidRPr="00CE1226">
        <w:rPr>
          <w:rFonts w:ascii="Times New Roman" w:hAnsi="Times New Roman" w:cs="Times New Roman"/>
          <w:noProof/>
          <w:sz w:val="28"/>
          <w:szCs w:val="28"/>
        </w:rPr>
        <w:t>25 декабря</w:t>
      </w:r>
      <w:r w:rsidR="004C3AD1" w:rsidRPr="00CE12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E1226">
        <w:rPr>
          <w:rFonts w:ascii="Times New Roman" w:hAnsi="Times New Roman" w:cs="Times New Roman"/>
          <w:noProof/>
          <w:sz w:val="28"/>
          <w:szCs w:val="28"/>
        </w:rPr>
        <w:t xml:space="preserve">2024 года № </w:t>
      </w:r>
      <w:r w:rsidR="00CE1226" w:rsidRPr="00CE1226">
        <w:rPr>
          <w:rFonts w:ascii="Times New Roman" w:hAnsi="Times New Roman" w:cs="Times New Roman"/>
          <w:noProof/>
          <w:sz w:val="28"/>
          <w:szCs w:val="28"/>
        </w:rPr>
        <w:t>49</w:t>
      </w:r>
      <w:r w:rsidR="007D0DCE" w:rsidRPr="00CE12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E1226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требований к закупаемым 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516D" w:rsidRPr="00CE1226">
        <w:rPr>
          <w:rFonts w:ascii="Times New Roman" w:hAnsi="Times New Roman" w:cs="Times New Roman"/>
          <w:sz w:val="28"/>
          <w:szCs w:val="28"/>
        </w:rPr>
        <w:t>Поповского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1226">
        <w:rPr>
          <w:rFonts w:ascii="Times New Roman" w:hAnsi="Times New Roman" w:cs="Times New Roman"/>
          <w:sz w:val="28"/>
          <w:szCs w:val="28"/>
        </w:rPr>
        <w:t>отдельным видам товаров,</w:t>
      </w:r>
      <w:r w:rsidR="004C3AD1" w:rsidRPr="00CE1226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Pr="00CE1226">
        <w:rPr>
          <w:rFonts w:ascii="Times New Roman" w:hAnsi="Times New Roman" w:cs="Times New Roman"/>
          <w:sz w:val="28"/>
          <w:szCs w:val="28"/>
        </w:rPr>
        <w:t xml:space="preserve"> (в том числе предельных цен товаров, работ, услуг)»: </w:t>
      </w:r>
    </w:p>
    <w:p w:rsidR="00F60A15" w:rsidRPr="00F60A15" w:rsidRDefault="004C3AD1" w:rsidP="004C3AD1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отдельных видов </w:t>
      </w:r>
      <w:r w:rsidR="00F60A15" w:rsidRPr="00F60A15">
        <w:rPr>
          <w:rFonts w:ascii="Times New Roman" w:hAnsi="Times New Roman" w:cs="Times New Roman"/>
          <w:sz w:val="28"/>
          <w:szCs w:val="28"/>
        </w:rPr>
        <w:t>товаров, ра</w:t>
      </w:r>
      <w:r>
        <w:rPr>
          <w:rFonts w:ascii="Times New Roman" w:hAnsi="Times New Roman" w:cs="Times New Roman"/>
          <w:sz w:val="28"/>
          <w:szCs w:val="28"/>
        </w:rPr>
        <w:t xml:space="preserve">бот, услуг, их потребительские свойства (в том числе качество) и иные </w:t>
      </w:r>
      <w:r w:rsidR="00F60A15" w:rsidRPr="00F60A1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(в том </w:t>
      </w:r>
      <w:r>
        <w:rPr>
          <w:rFonts w:ascii="Times New Roman" w:hAnsi="Times New Roman" w:cs="Times New Roman"/>
          <w:sz w:val="28"/>
          <w:szCs w:val="28"/>
        </w:rPr>
        <w:t xml:space="preserve">числе предельные цены товаров, работ, услуг) к ним, закупаемых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администрацией </w:t>
      </w:r>
      <w:r w:rsidR="001C516D">
        <w:rPr>
          <w:rFonts w:ascii="Times New Roman" w:hAnsi="Times New Roman" w:cs="Times New Roman"/>
          <w:noProof/>
          <w:sz w:val="28"/>
          <w:szCs w:val="28"/>
        </w:rPr>
        <w:t>Поповского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«Корочанский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район» </w:t>
      </w:r>
      <w:r w:rsidR="00746315">
        <w:rPr>
          <w:rFonts w:ascii="Times New Roman" w:hAnsi="Times New Roman" w:cs="Times New Roman"/>
          <w:noProof/>
          <w:sz w:val="28"/>
          <w:szCs w:val="28"/>
        </w:rPr>
        <w:t>(Приложение).</w:t>
      </w:r>
    </w:p>
    <w:p w:rsidR="00F60A15" w:rsidRPr="00F60A15" w:rsidRDefault="004C3AD1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bCs/>
          <w:sz w:val="28"/>
          <w:szCs w:val="28"/>
        </w:rPr>
        <w:t xml:space="preserve">2. Установить, что </w:t>
      </w:r>
      <w:r w:rsidR="00F60A15"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не </w:t>
      </w:r>
      <w:r w:rsidR="00F60A15" w:rsidRPr="00F60A15">
        <w:rPr>
          <w:rFonts w:ascii="Times New Roman" w:hAnsi="Times New Roman" w:cs="Times New Roman"/>
          <w:sz w:val="28"/>
          <w:szCs w:val="28"/>
        </w:rPr>
        <w:t>включенные в обязательны</w:t>
      </w:r>
      <w:r w:rsidR="00770BCE">
        <w:rPr>
          <w:rFonts w:ascii="Times New Roman" w:hAnsi="Times New Roman" w:cs="Times New Roman"/>
          <w:sz w:val="28"/>
          <w:szCs w:val="28"/>
        </w:rPr>
        <w:t xml:space="preserve">й перечень, подлежат включению </w:t>
      </w:r>
      <w:r w:rsidR="00F60A15" w:rsidRPr="00F60A15">
        <w:rPr>
          <w:rFonts w:ascii="Times New Roman" w:hAnsi="Times New Roman" w:cs="Times New Roman"/>
          <w:sz w:val="28"/>
          <w:szCs w:val="28"/>
        </w:rPr>
        <w:t>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57438" w:rsidRPr="003B51CD" w:rsidRDefault="00F02109" w:rsidP="00770B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513602">
        <w:rPr>
          <w:rFonts w:ascii="Times New Roman" w:hAnsi="Times New Roman" w:cs="Times New Roman"/>
          <w:sz w:val="28"/>
          <w:szCs w:val="28"/>
        </w:rPr>
        <w:t xml:space="preserve">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516D">
        <w:rPr>
          <w:rFonts w:ascii="Times New Roman" w:hAnsi="Times New Roman" w:cs="Times New Roman"/>
          <w:sz w:val="28"/>
          <w:szCs w:val="28"/>
        </w:rPr>
        <w:t>Поповского</w:t>
      </w:r>
      <w:r w:rsidR="00770B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57438">
        <w:rPr>
          <w:rFonts w:ascii="Times New Roman" w:hAnsi="Times New Roman" w:cs="Times New Roman"/>
          <w:sz w:val="28"/>
          <w:szCs w:val="28"/>
        </w:rPr>
        <w:t>муниципального района «К</w:t>
      </w:r>
      <w:r w:rsidR="00957438" w:rsidRPr="003B51CD">
        <w:rPr>
          <w:rFonts w:ascii="Times New Roman" w:hAnsi="Times New Roman" w:cs="Times New Roman"/>
          <w:sz w:val="28"/>
          <w:szCs w:val="28"/>
        </w:rPr>
        <w:t>орочанск</w:t>
      </w:r>
      <w:r w:rsidR="00957438">
        <w:rPr>
          <w:rFonts w:ascii="Times New Roman" w:hAnsi="Times New Roman" w:cs="Times New Roman"/>
          <w:sz w:val="28"/>
          <w:szCs w:val="28"/>
        </w:rPr>
        <w:t>ий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7438">
        <w:rPr>
          <w:rFonts w:ascii="Times New Roman" w:hAnsi="Times New Roman" w:cs="Times New Roman"/>
          <w:sz w:val="28"/>
          <w:szCs w:val="28"/>
        </w:rPr>
        <w:t xml:space="preserve">» </w:t>
      </w:r>
      <w:r w:rsidR="00957438" w:rsidRPr="003B51CD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</w:t>
      </w:r>
      <w:r w:rsidR="00770BCE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в указанные реестры (по графикам платежей)</w:t>
      </w:r>
      <w:r w:rsidR="00513602">
        <w:rPr>
          <w:rFonts w:ascii="Times New Roman" w:hAnsi="Times New Roman" w:cs="Times New Roman"/>
          <w:sz w:val="28"/>
          <w:szCs w:val="28"/>
        </w:rPr>
        <w:t>, заключенным соответствующими</w:t>
      </w:r>
      <w:proofErr w:type="gramEnd"/>
      <w:r w:rsidR="00513602">
        <w:rPr>
          <w:rFonts w:ascii="Times New Roman" w:hAnsi="Times New Roman" w:cs="Times New Roman"/>
          <w:sz w:val="28"/>
          <w:szCs w:val="28"/>
        </w:rPr>
        <w:t>,</w:t>
      </w:r>
      <w:r w:rsidR="0095743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C516D">
        <w:rPr>
          <w:rFonts w:ascii="Times New Roman" w:hAnsi="Times New Roman" w:cs="Times New Roman"/>
          <w:sz w:val="28"/>
          <w:szCs w:val="28"/>
        </w:rPr>
        <w:t>Поповского</w:t>
      </w:r>
      <w:r w:rsidR="00770B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57438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770BCE">
        <w:rPr>
          <w:rFonts w:ascii="Times New Roman" w:hAnsi="Times New Roman" w:cs="Times New Roman"/>
          <w:sz w:val="28"/>
          <w:szCs w:val="28"/>
        </w:rPr>
        <w:t>;</w:t>
      </w:r>
    </w:p>
    <w:p w:rsidR="00957438" w:rsidRPr="003B51CD" w:rsidRDefault="00957438" w:rsidP="00770B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1C516D">
        <w:rPr>
          <w:rFonts w:ascii="Times New Roman" w:hAnsi="Times New Roman" w:cs="Times New Roman"/>
          <w:sz w:val="28"/>
          <w:szCs w:val="28"/>
        </w:rPr>
        <w:t>Поповского</w:t>
      </w:r>
      <w:r w:rsidR="00770B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F02109">
        <w:rPr>
          <w:rFonts w:ascii="Times New Roman" w:hAnsi="Times New Roman" w:cs="Times New Roman"/>
          <w:sz w:val="28"/>
          <w:szCs w:val="28"/>
        </w:rPr>
        <w:t xml:space="preserve">льного района «Корочанский </w:t>
      </w:r>
      <w:r w:rsidRPr="003B51CD">
        <w:rPr>
          <w:rFonts w:ascii="Times New Roman" w:hAnsi="Times New Roman" w:cs="Times New Roman"/>
          <w:sz w:val="28"/>
          <w:szCs w:val="28"/>
        </w:rPr>
        <w:t>район</w:t>
      </w:r>
      <w:r w:rsidR="00770BCE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CE">
        <w:rPr>
          <w:rFonts w:ascii="Times New Roman" w:hAnsi="Times New Roman" w:cs="Times New Roman"/>
          <w:sz w:val="28"/>
          <w:szCs w:val="28"/>
        </w:rPr>
        <w:t>п</w:t>
      </w:r>
      <w:r w:rsidRPr="003B51CD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отдельного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вида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 работ, услуг,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F021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516D">
        <w:rPr>
          <w:rFonts w:ascii="Times New Roman" w:hAnsi="Times New Roman" w:cs="Times New Roman"/>
          <w:sz w:val="28"/>
          <w:szCs w:val="28"/>
        </w:rPr>
        <w:t>Поповского</w:t>
      </w:r>
      <w:r w:rsidR="00770B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210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3B51CD">
        <w:rPr>
          <w:rFonts w:ascii="Times New Roman" w:hAnsi="Times New Roman" w:cs="Times New Roman"/>
          <w:sz w:val="28"/>
          <w:szCs w:val="28"/>
        </w:rPr>
        <w:t>Корочанск</w:t>
      </w:r>
      <w:r w:rsidR="00F02109">
        <w:rPr>
          <w:rFonts w:ascii="Times New Roman" w:hAnsi="Times New Roman" w:cs="Times New Roman"/>
          <w:sz w:val="28"/>
          <w:szCs w:val="28"/>
        </w:rPr>
        <w:t>ий район»</w:t>
      </w:r>
      <w:r w:rsidRPr="003B51CD">
        <w:rPr>
          <w:rFonts w:ascii="Times New Roman" w:hAnsi="Times New Roman" w:cs="Times New Roman"/>
          <w:sz w:val="28"/>
          <w:szCs w:val="28"/>
        </w:rPr>
        <w:t>, на приобретение товаров, работ, услуг, заключенных в отчетном финансовом году</w:t>
      </w:r>
    </w:p>
    <w:p w:rsidR="007A72AD" w:rsidRDefault="00770BCE" w:rsidP="00F60A15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A15" w:rsidRPr="00F60A15">
        <w:rPr>
          <w:rFonts w:ascii="Times New Roman" w:hAnsi="Times New Roman" w:cs="Times New Roman"/>
          <w:sz w:val="28"/>
          <w:szCs w:val="28"/>
        </w:rPr>
        <w:t>3. Разместить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Перечень отдельных видов товаров,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работ,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иные характеристики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(в том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числе предельные цены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товаров, работ, услуг) </w:t>
      </w:r>
      <w:r w:rsidR="007A72A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</w:t>
      </w:r>
      <w:r w:rsidR="001C516D">
        <w:rPr>
          <w:rFonts w:ascii="Times New Roman" w:hAnsi="Times New Roman" w:cs="Times New Roman"/>
          <w:noProof/>
          <w:sz w:val="28"/>
          <w:szCs w:val="28"/>
        </w:rPr>
        <w:t>Поповского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муниципального района «Корочанский район» и подведомственными ей</w:t>
      </w:r>
      <w:r w:rsidR="007A72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бюджетными</w:t>
      </w:r>
      <w:r w:rsidR="007A72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 xml:space="preserve">и казенными учреждениями </w:t>
      </w:r>
    </w:p>
    <w:p w:rsidR="00F60A15" w:rsidRPr="00F60A15" w:rsidRDefault="00F60A15" w:rsidP="00F60A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:rsidR="00F60A15" w:rsidRDefault="005C5822" w:rsidP="00C85B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85B39">
        <w:rPr>
          <w:rFonts w:ascii="Times New Roman" w:hAnsi="Times New Roman" w:cs="Times New Roman"/>
          <w:sz w:val="28"/>
          <w:szCs w:val="28"/>
        </w:rPr>
        <w:t>Р</w:t>
      </w:r>
      <w:r w:rsidR="00F60A15" w:rsidRPr="00F60A1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85B3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85B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516D">
        <w:rPr>
          <w:rFonts w:ascii="Times New Roman" w:hAnsi="Times New Roman" w:cs="Times New Roman"/>
          <w:sz w:val="28"/>
          <w:szCs w:val="28"/>
        </w:rPr>
        <w:t>Поповского</w:t>
      </w:r>
      <w:r w:rsidR="00C85B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0A15" w:rsidRPr="00F60A15">
        <w:rPr>
          <w:rFonts w:ascii="Times New Roman" w:hAnsi="Times New Roman" w:cs="Times New Roman"/>
          <w:sz w:val="28"/>
          <w:szCs w:val="28"/>
        </w:rPr>
        <w:t>муниципальн</w:t>
      </w:r>
      <w:r w:rsidR="00C85B39">
        <w:rPr>
          <w:rFonts w:ascii="Times New Roman" w:hAnsi="Times New Roman" w:cs="Times New Roman"/>
          <w:sz w:val="28"/>
          <w:szCs w:val="28"/>
        </w:rPr>
        <w:t xml:space="preserve">ого района «Корочанский район»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в </w:t>
      </w:r>
      <w:r w:rsidR="00513602">
        <w:rPr>
          <w:rFonts w:ascii="Times New Roman" w:hAnsi="Times New Roman" w:cs="Times New Roman"/>
          <w:sz w:val="28"/>
          <w:szCs w:val="28"/>
        </w:rPr>
        <w:t>и</w:t>
      </w:r>
      <w:r w:rsidR="00F60A15" w:rsidRPr="00F60A15">
        <w:rPr>
          <w:rFonts w:ascii="Times New Roman" w:hAnsi="Times New Roman" w:cs="Times New Roman"/>
          <w:sz w:val="28"/>
          <w:szCs w:val="28"/>
        </w:rPr>
        <w:t>нфор</w:t>
      </w:r>
      <w:r w:rsidR="00C85B39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</w:t>
      </w:r>
      <w:r w:rsidR="00F60A15" w:rsidRPr="00F60A15">
        <w:rPr>
          <w:rFonts w:ascii="Times New Roman" w:hAnsi="Times New Roman" w:cs="Times New Roman"/>
          <w:sz w:val="28"/>
          <w:szCs w:val="28"/>
        </w:rPr>
        <w:t>сети общего пользования.</w:t>
      </w:r>
    </w:p>
    <w:tbl>
      <w:tblPr>
        <w:tblW w:w="15026" w:type="dxa"/>
        <w:tblInd w:w="-34" w:type="dxa"/>
        <w:tblLayout w:type="fixed"/>
        <w:tblLook w:val="0000"/>
      </w:tblPr>
      <w:tblGrid>
        <w:gridCol w:w="9923"/>
        <w:gridCol w:w="5103"/>
      </w:tblGrid>
      <w:tr w:rsidR="00DA38CA" w:rsidRPr="00114CF8" w:rsidTr="00C85B39">
        <w:tc>
          <w:tcPr>
            <w:tcW w:w="9923" w:type="dxa"/>
          </w:tcPr>
          <w:p w:rsidR="00DA38CA" w:rsidRDefault="005C5822" w:rsidP="0095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85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C85B39">
              <w:rPr>
                <w:rFonts w:ascii="Times New Roman" w:hAnsi="Times New Roman" w:cs="Times New Roman"/>
                <w:sz w:val="28"/>
                <w:szCs w:val="28"/>
              </w:rPr>
              <w:t>оль за</w:t>
            </w:r>
            <w:proofErr w:type="gramEnd"/>
            <w:r w:rsidR="00C85B3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распоряжения</w:t>
            </w:r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B39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  <w:bookmarkStart w:id="0" w:name="_GoBack"/>
            <w:bookmarkEnd w:id="0"/>
          </w:p>
          <w:p w:rsidR="00C85B39" w:rsidRDefault="00C85B39" w:rsidP="0095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E9" w:rsidRDefault="007D19E9" w:rsidP="0095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9E9" w:rsidRDefault="007D19E9" w:rsidP="0095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39" w:rsidRPr="00C85B39" w:rsidRDefault="001C516D" w:rsidP="00C85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</w:t>
            </w:r>
            <w:r w:rsidR="00C85B39" w:rsidRPr="00C85B39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C85B39" w:rsidRPr="00C85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C85B39" w:rsidRPr="00114CF8" w:rsidRDefault="001C516D" w:rsidP="001C516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Поповского</w:t>
            </w:r>
            <w:r w:rsidR="00C85B39" w:rsidRPr="00C85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Гулевская</w:t>
            </w:r>
          </w:p>
        </w:tc>
        <w:tc>
          <w:tcPr>
            <w:tcW w:w="5103" w:type="dxa"/>
          </w:tcPr>
          <w:p w:rsidR="00DA38CA" w:rsidRPr="00114CF8" w:rsidRDefault="00DA38CA" w:rsidP="00957438">
            <w:pPr>
              <w:rPr>
                <w:b/>
                <w:sz w:val="28"/>
                <w:szCs w:val="28"/>
              </w:rPr>
            </w:pPr>
          </w:p>
          <w:p w:rsidR="00DA38CA" w:rsidRPr="00114CF8" w:rsidRDefault="00DA38CA" w:rsidP="0095743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0A15" w:rsidRDefault="00F60A15" w:rsidP="00F60A15">
      <w:pPr>
        <w:rPr>
          <w:rFonts w:ascii="Times New Roman" w:hAnsi="Times New Roman" w:cs="Times New Roman"/>
          <w:highlight w:val="yellow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7D19E9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6315" w:rsidRDefault="00746315" w:rsidP="00746315">
      <w:pPr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A806F9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№1</w:t>
      </w:r>
    </w:p>
    <w:p w:rsidR="00746315" w:rsidRDefault="00746315" w:rsidP="00746315">
      <w:pPr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к распоряжению администрации</w:t>
      </w:r>
    </w:p>
    <w:p w:rsidR="00746315" w:rsidRDefault="001C516D" w:rsidP="00746315">
      <w:pPr>
        <w:ind w:left="49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="00746315">
        <w:rPr>
          <w:b/>
          <w:sz w:val="28"/>
          <w:szCs w:val="28"/>
        </w:rPr>
        <w:t xml:space="preserve"> сельского поселения  </w:t>
      </w:r>
    </w:p>
    <w:p w:rsidR="00746315" w:rsidRDefault="00746315" w:rsidP="00746315">
      <w:pPr>
        <w:ind w:left="49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746315" w:rsidRDefault="00746315" w:rsidP="00746315">
      <w:pPr>
        <w:ind w:left="-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от </w:t>
      </w:r>
      <w:r w:rsidR="00513602">
        <w:rPr>
          <w:b/>
          <w:sz w:val="28"/>
          <w:szCs w:val="28"/>
        </w:rPr>
        <w:t>«__» _________</w:t>
      </w:r>
      <w:r>
        <w:rPr>
          <w:b/>
          <w:sz w:val="28"/>
          <w:szCs w:val="28"/>
        </w:rPr>
        <w:t xml:space="preserve"> 202</w:t>
      </w:r>
      <w:r w:rsidR="000E56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</w:t>
      </w:r>
      <w:r>
        <w:rPr>
          <w:b/>
          <w:bCs/>
          <w:color w:val="000000"/>
          <w:sz w:val="28"/>
          <w:szCs w:val="28"/>
        </w:rPr>
        <w:t xml:space="preserve"> </w:t>
      </w:r>
      <w:r w:rsidRPr="00590E7C">
        <w:rPr>
          <w:b/>
          <w:bCs/>
          <w:color w:val="000000"/>
          <w:sz w:val="28"/>
          <w:szCs w:val="28"/>
        </w:rPr>
        <w:t>№</w:t>
      </w:r>
      <w:r w:rsidR="00513602">
        <w:rPr>
          <w:b/>
          <w:bCs/>
          <w:color w:val="000000"/>
          <w:sz w:val="28"/>
          <w:szCs w:val="28"/>
        </w:rPr>
        <w:t>___</w:t>
      </w:r>
    </w:p>
    <w:p w:rsidR="00746315" w:rsidRDefault="007463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6B6ECC" w:rsidRDefault="009877B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1C516D">
        <w:rPr>
          <w:rFonts w:ascii="Times New Roman" w:hAnsi="Times New Roman" w:cs="Times New Roman"/>
          <w:b/>
          <w:sz w:val="26"/>
          <w:szCs w:val="26"/>
        </w:rPr>
        <w:t>Поповского</w:t>
      </w:r>
      <w:r w:rsidR="00C85B3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«Корочанский район» </w:t>
      </w:r>
      <w:r w:rsidR="00B933F6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tbl>
      <w:tblPr>
        <w:tblW w:w="1573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1548"/>
      </w:tblGrid>
      <w:tr w:rsidR="006B6ECC" w:rsidTr="002D2EE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8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                               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04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Значение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характерис-тики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FootnoteReference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6B6ECC" w:rsidTr="002D2EE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B6ECC" w:rsidTr="002D2EE3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6B6ECC" w:rsidTr="002D2EE3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как ноутбуки, планшетные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компьютеры, карманные компьютеры,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4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512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2048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RPr="007D19E9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 Wi-Fi, Bluetooth,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 – отсутствует, планшет – Android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 – отсутствует, планшет – Android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0254AA" w:rsidTr="00746315">
        <w:trPr>
          <w:trHeight w:val="467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54AA" w:rsidRPr="009465AD" w:rsidRDefault="000254AA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0254AA" w:rsidRPr="009465AD" w:rsidRDefault="000254AA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0254AA" w:rsidRPr="009465AD" w:rsidRDefault="000254AA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E33B8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</w:t>
            </w:r>
          </w:p>
          <w:p w:rsidR="000254AA" w:rsidRPr="009465AD" w:rsidRDefault="000254AA" w:rsidP="00C85B3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относящиеся к категории «Главная»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0254AA" w:rsidTr="00746315">
        <w:trPr>
          <w:trHeight w:val="3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C85B3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proofErr w:type="gramEnd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должности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</w:t>
            </w:r>
          </w:p>
          <w:p w:rsidR="000254AA" w:rsidRPr="009465AD" w:rsidRDefault="000254AA" w:rsidP="000254A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0254AA" w:rsidTr="00746315">
        <w:trPr>
          <w:trHeight w:val="27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«Главная»»  </w:t>
            </w:r>
          </w:p>
          <w:p w:rsidR="000254AA" w:rsidRPr="009465AD" w:rsidRDefault="000254AA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AA" w:rsidRDefault="000254AA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:rsidTr="002D2EE3">
        <w:trPr>
          <w:trHeight w:val="45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lastRenderedPageBreak/>
              <w:t>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ные должности не относящиеся к муниципальной службе</w:t>
            </w:r>
            <w:r w:rsidR="002D2EE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:rsidTr="002D2EE3">
        <w:trPr>
          <w:trHeight w:val="12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1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consultantplus://offline/ref=A8D2407ABFD50DC7E34EA3844E9FDC90F13061CD3ABA3F4F957AFE2EEB0B62B7E43D648A93677CBEAA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B6ECC" w:rsidRDefault="00B933F6" w:rsidP="009465AD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20141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 w:rsidR="002014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6B6ECC" w:rsidRPr="009465AD" w:rsidRDefault="00B933F6" w:rsidP="005433F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:rsidR="00D64AB9" w:rsidRPr="001F5BD6" w:rsidRDefault="00D64AB9" w:rsidP="00D64AB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Линукс, Альт Линукс, Роса Линукс,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Линукс, Альт Линукс, Роса Линукс,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6E52A9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службы</w:t>
            </w:r>
            <w:r w:rsidR="000254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администрации </w:t>
            </w:r>
            <w:r w:rsidR="001C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Поповского</w:t>
            </w:r>
            <w:r w:rsidR="000254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с/</w:t>
            </w:r>
            <w:proofErr w:type="gramStart"/>
            <w:r w:rsidR="000254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="000254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Корочанского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замещающих должности, не являющиеся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муниципальными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должностями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</w:t>
            </w:r>
            <w:r w:rsidR="001C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Поповского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Корочанского района Б</w:t>
            </w:r>
            <w:r w:rsid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елгородской области, 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9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                     в одном корпусе запоминающие устройства.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 интерфейсов (сетевой интерфейс, устройства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 интерфейсов (сетевой интерфейс, устройства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73439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муниципальной службы 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="001C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Поповского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Корочанского района,  лиц замещающих должности, не являющиеся  муниципальными должностями 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="001C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Поповского</w:t>
            </w:r>
            <w:r w:rsidR="009914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Корочанского района Белгородской области</w:t>
            </w:r>
            <w:r w:rsid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933F6"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D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5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(Wi-Fi, Bluetooth,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D45C7F" w:rsidTr="002D2EE3">
        <w:trPr>
          <w:trHeight w:val="27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164C939BA3F4F957AFE2EEB0B62B7E43D648A926F77BCA5AA195B3EEE4C997E9521336856E0C245SEQ">
              <w:r w:rsidR="00D45C7F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 группы должностей «Высшая», руководитель,   подведомственного учреждения  -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лжностей «Высшая», руководитель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 подведомственного учреждения  -</w:t>
            </w: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061CD3ABA3F4F957AFE2EEB0B62B7E43D648A906D7BBC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1500 куб.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120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8B130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787ED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</w:t>
            </w:r>
            <w:r w:rsidR="008B130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8B130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руководитель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E87F19" w:rsidP="008B130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8B130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8B130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061CD3ABA3F4F957AFE2EEB0B62B7E43D648A906D7BBCA4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рабочим объемом цилиндров более 1500 куб.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164C939BA3F4F957AFE2EEB0B62B7E43D648A926F76B8A3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8B130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B1305" w:rsidTr="00746315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7BCA5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«Высшая»,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061CD3ABA3F4F957AFE2EEB0B62B7E43D648A906D7BBFA2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 воспламенением от сжатия (дизелем или полудизелем), новые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164C939BA3F4F957AFE2EEB0B62B7E43D648A926F76B8A3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B1305" w:rsidTr="00746315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7BCA5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«Высшая»,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061CD3ABA3F4F957AFE2EEB0B62B7E43D648A906D7BBFA6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164C939BA3F4F957AFE2EEB0B62B7E43D648A926F76B8A3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B1305" w:rsidTr="00746315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7BCA5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«Высшая»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уководители подведомственных учреждений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061CD3ABA3F4F957AFE2EEB0B62B7E43D648A906D7BBEA2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164C939BA3F4F957AFE2EEB0B62B7E43D648A926F76B8A3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500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B1305" w:rsidTr="00746315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7BCA5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7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061CD3ABA3F4F957AFE2EEB0B62B7E43D648A906D7BB8A2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полудизелем),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164C939BA3F4F957AFE2EEB0B62B7E43D648A926F76B8A3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B1305" w:rsidTr="00746315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7BCA5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8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061CD3ABA3F4F957AFE2EEB0B62B7E43D648A906D7BBBAA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164C939BA3F4F957AFE2EEB0B62B7E43D648A926F76B8A3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8B1305" w:rsidTr="00746315">
        <w:trPr>
          <w:trHeight w:val="8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8B1305" w:rsidTr="00746315">
        <w:trPr>
          <w:trHeight w:val="53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7BCA5AA195B3EEE4C997E9521336856E0C245SEQ">
              <w:r w:rsidR="008B1305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Pr="009465AD" w:rsidRDefault="008B1305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5" w:rsidRDefault="008B1305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0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061CD3ABA3F4F957AFE2EEB0B62B7E43D648A906D7BB5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061CD3ABA3F4F957AFE2EEB0B62B7E43D648A906D7BB4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3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061CD3ABA3F4F957AFE2EEB0B62B7E43D648A906A78B5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ебельный (искусственный) мех, искусственная замша (микрофибра), ткань, нетканые материалы.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4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8B130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:rsidR="004C37C2" w:rsidRPr="009465AD" w:rsidRDefault="004C37C2" w:rsidP="006016A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061CD3ABA3F4F957AFE2EEB0B62B7E43D648A906A79BC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</w:t>
            </w:r>
            <w:r w:rsidR="008B130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Возможные значения: древесина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8B130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«Главная»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,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,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,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7C2" w:rsidRPr="009465AD" w:rsidRDefault="00D350F6" w:rsidP="003849C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, -</w:t>
            </w:r>
            <w:r w:rsidR="00936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более 2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061CD3ABA3F4F957AFE2EEB0B62B7E43D64899068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061CD3ABA3F4F957AFE2EEB0B62B7E43D6489916E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061CD3ABA3F4F957AFE2EEB0B62B7E43D648A916F7ABC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BC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:rsidR="004C37C2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3849C3" w:rsidTr="00746315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BA6AA195B3EEE4C997E9521336856E0C245SEQ">
              <w:r w:rsidR="003849C3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сеть Интернет (лимитная / безлимитная)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сеть Интернет (лимитная / безлимитная)</w:t>
            </w:r>
            <w:proofErr w:type="gramEnd"/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Default="003849C3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Default="003849C3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3849C3" w:rsidTr="00746315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Default="003849C3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Default="003849C3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3849C3" w:rsidTr="00746315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Российской Федерации,</w:t>
            </w:r>
            <w:proofErr w:type="gramEnd"/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Российской Федерации,</w:t>
            </w:r>
            <w:proofErr w:type="gramEnd"/>
          </w:p>
          <w:p w:rsidR="003849C3" w:rsidRPr="009465AD" w:rsidRDefault="003849C3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Default="003849C3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Default="003849C3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3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«Высшая», руководители подведомственных учреждений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C3" w:rsidRPr="009465AD" w:rsidRDefault="003849C3" w:rsidP="003849C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«Высшая», руководители подведомственных учреждений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4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тыс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3849C3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4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«Помощники (советники)»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0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D7EB5A1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                                 (не более 3,5 т) автотранспортных средств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0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0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                 (до 3,5 т) автотранспортных средств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01170" w:rsidTr="00746315">
        <w:trPr>
          <w:trHeight w:val="7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061CD3ABA3F4F957AFE2EEB0B62B7E43D648A916F7EBBA2AA195B3EEE4C997E9521336856E0C245SEQ">
              <w:r w:rsidR="00401170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на одного пользователя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на одного пользователя</w:t>
            </w:r>
          </w:p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 закупается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Default="00401170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Default="00401170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01170" w:rsidTr="00746315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Default="00401170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Default="00401170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01170" w:rsidTr="00746315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Pr="009465AD" w:rsidRDefault="00401170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Default="00401170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170" w:rsidRDefault="00401170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A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7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«О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персональных данных» приложений, содержащих персональные данные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«О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персональных данных» приложений, содержащих персональные данные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tgtFrame="consultantplus://offline/ref=A8D2407ABFD50DC7E34EA3844E9FDC90F13061CD3ABA3F4F957AFE2EEB0B62B7E43D648A916F7EB5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составе средств 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составе средств 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6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5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4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C0660E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BBE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F60A15" w:rsidP="00F60A1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1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B6ECC" w:rsidRDefault="006B6ECC" w:rsidP="009465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6ECC" w:rsidSect="00F60A15">
      <w:pgSz w:w="16838" w:h="11906" w:orient="landscape"/>
      <w:pgMar w:top="566" w:right="1134" w:bottom="567" w:left="28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97" w:rsidRDefault="006A3597" w:rsidP="006B6ECC">
      <w:r>
        <w:separator/>
      </w:r>
    </w:p>
  </w:endnote>
  <w:endnote w:type="continuationSeparator" w:id="0">
    <w:p w:rsidR="006A3597" w:rsidRDefault="006A3597" w:rsidP="006B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97" w:rsidRDefault="006A3597">
      <w:pPr>
        <w:rPr>
          <w:sz w:val="12"/>
        </w:rPr>
      </w:pPr>
      <w:r>
        <w:separator/>
      </w:r>
    </w:p>
  </w:footnote>
  <w:footnote w:type="continuationSeparator" w:id="0">
    <w:p w:rsidR="006A3597" w:rsidRDefault="006A3597">
      <w:pPr>
        <w:rPr>
          <w:sz w:val="12"/>
        </w:rPr>
      </w:pPr>
      <w:r>
        <w:continuationSeparator/>
      </w:r>
    </w:p>
  </w:footnote>
  <w:footnote w:id="1">
    <w:p w:rsidR="007D19E9" w:rsidRDefault="007D19E9">
      <w:pPr>
        <w:pStyle w:val="FootnoteText"/>
        <w:widowControl w:val="0"/>
        <w:ind w:left="-567" w:right="-598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E9" w:rsidRDefault="007D19E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8254D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19E9" w:rsidRDefault="007D19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ECC"/>
    <w:rsid w:val="000254AA"/>
    <w:rsid w:val="000302FC"/>
    <w:rsid w:val="00064AD5"/>
    <w:rsid w:val="0007724F"/>
    <w:rsid w:val="00083F88"/>
    <w:rsid w:val="00090193"/>
    <w:rsid w:val="000A5D09"/>
    <w:rsid w:val="000C0CFF"/>
    <w:rsid w:val="000D24C5"/>
    <w:rsid w:val="000E56B2"/>
    <w:rsid w:val="00105B59"/>
    <w:rsid w:val="00115B7A"/>
    <w:rsid w:val="00142071"/>
    <w:rsid w:val="00151036"/>
    <w:rsid w:val="00166111"/>
    <w:rsid w:val="00170E42"/>
    <w:rsid w:val="001734B6"/>
    <w:rsid w:val="001B4C27"/>
    <w:rsid w:val="001B7B96"/>
    <w:rsid w:val="001C516D"/>
    <w:rsid w:val="001C7CF3"/>
    <w:rsid w:val="001E5977"/>
    <w:rsid w:val="001F5BD6"/>
    <w:rsid w:val="00201417"/>
    <w:rsid w:val="00220670"/>
    <w:rsid w:val="00247977"/>
    <w:rsid w:val="00251CE5"/>
    <w:rsid w:val="00255AC6"/>
    <w:rsid w:val="00270E82"/>
    <w:rsid w:val="002854AD"/>
    <w:rsid w:val="002911BC"/>
    <w:rsid w:val="002B135A"/>
    <w:rsid w:val="002D2EE3"/>
    <w:rsid w:val="0031266B"/>
    <w:rsid w:val="00326478"/>
    <w:rsid w:val="00374184"/>
    <w:rsid w:val="00383A11"/>
    <w:rsid w:val="003849C3"/>
    <w:rsid w:val="0038699C"/>
    <w:rsid w:val="003A2477"/>
    <w:rsid w:val="003A5E5A"/>
    <w:rsid w:val="003D1D39"/>
    <w:rsid w:val="003E140C"/>
    <w:rsid w:val="00401170"/>
    <w:rsid w:val="00410C6E"/>
    <w:rsid w:val="0042713B"/>
    <w:rsid w:val="00436A04"/>
    <w:rsid w:val="00436DBC"/>
    <w:rsid w:val="00443B6D"/>
    <w:rsid w:val="0044743A"/>
    <w:rsid w:val="004B53F5"/>
    <w:rsid w:val="004C2EEE"/>
    <w:rsid w:val="004C37C2"/>
    <w:rsid w:val="004C3AD1"/>
    <w:rsid w:val="004D2BB4"/>
    <w:rsid w:val="004E5C75"/>
    <w:rsid w:val="004F28F4"/>
    <w:rsid w:val="0050006A"/>
    <w:rsid w:val="00513602"/>
    <w:rsid w:val="00523CDB"/>
    <w:rsid w:val="0054091D"/>
    <w:rsid w:val="005410D1"/>
    <w:rsid w:val="005433FA"/>
    <w:rsid w:val="005B21C1"/>
    <w:rsid w:val="005C24DD"/>
    <w:rsid w:val="005C5822"/>
    <w:rsid w:val="005D067D"/>
    <w:rsid w:val="005D3A2E"/>
    <w:rsid w:val="005F492A"/>
    <w:rsid w:val="006016AE"/>
    <w:rsid w:val="0062212B"/>
    <w:rsid w:val="006608E0"/>
    <w:rsid w:val="0068254D"/>
    <w:rsid w:val="006A3597"/>
    <w:rsid w:val="006A3CC6"/>
    <w:rsid w:val="006B62E8"/>
    <w:rsid w:val="006B6ECC"/>
    <w:rsid w:val="006D2E3F"/>
    <w:rsid w:val="006E52A9"/>
    <w:rsid w:val="006F7DCA"/>
    <w:rsid w:val="0072160B"/>
    <w:rsid w:val="0073439C"/>
    <w:rsid w:val="00746315"/>
    <w:rsid w:val="0076526C"/>
    <w:rsid w:val="00770BCE"/>
    <w:rsid w:val="00770DC9"/>
    <w:rsid w:val="00787ED6"/>
    <w:rsid w:val="007A1485"/>
    <w:rsid w:val="007A72AD"/>
    <w:rsid w:val="007C512F"/>
    <w:rsid w:val="007C515F"/>
    <w:rsid w:val="007D0DCE"/>
    <w:rsid w:val="007D19E9"/>
    <w:rsid w:val="0082641E"/>
    <w:rsid w:val="008506EA"/>
    <w:rsid w:val="008508CF"/>
    <w:rsid w:val="008538C4"/>
    <w:rsid w:val="008554A5"/>
    <w:rsid w:val="0086303A"/>
    <w:rsid w:val="0088510F"/>
    <w:rsid w:val="008B1305"/>
    <w:rsid w:val="008C05F5"/>
    <w:rsid w:val="008C45FF"/>
    <w:rsid w:val="008F2B74"/>
    <w:rsid w:val="009363C1"/>
    <w:rsid w:val="009465AD"/>
    <w:rsid w:val="009470FF"/>
    <w:rsid w:val="00957438"/>
    <w:rsid w:val="009672EE"/>
    <w:rsid w:val="009877B5"/>
    <w:rsid w:val="00991448"/>
    <w:rsid w:val="00996F54"/>
    <w:rsid w:val="009B093F"/>
    <w:rsid w:val="009E3C31"/>
    <w:rsid w:val="00A210AB"/>
    <w:rsid w:val="00A62449"/>
    <w:rsid w:val="00A81FA7"/>
    <w:rsid w:val="00B62B72"/>
    <w:rsid w:val="00B66359"/>
    <w:rsid w:val="00B66D0F"/>
    <w:rsid w:val="00B77C09"/>
    <w:rsid w:val="00B84935"/>
    <w:rsid w:val="00B933F6"/>
    <w:rsid w:val="00BA0C0A"/>
    <w:rsid w:val="00BD1D8E"/>
    <w:rsid w:val="00BE0E0A"/>
    <w:rsid w:val="00BF0FBD"/>
    <w:rsid w:val="00BF2CEB"/>
    <w:rsid w:val="00C03EC4"/>
    <w:rsid w:val="00C0660E"/>
    <w:rsid w:val="00C341F1"/>
    <w:rsid w:val="00C7367B"/>
    <w:rsid w:val="00C7458D"/>
    <w:rsid w:val="00C76DE0"/>
    <w:rsid w:val="00C85B39"/>
    <w:rsid w:val="00CE1226"/>
    <w:rsid w:val="00CE6D8B"/>
    <w:rsid w:val="00D03B86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94F84"/>
    <w:rsid w:val="00DA38CA"/>
    <w:rsid w:val="00DA540E"/>
    <w:rsid w:val="00E33B8E"/>
    <w:rsid w:val="00E45A6D"/>
    <w:rsid w:val="00E50389"/>
    <w:rsid w:val="00E63500"/>
    <w:rsid w:val="00E72F7C"/>
    <w:rsid w:val="00E86511"/>
    <w:rsid w:val="00E87F19"/>
    <w:rsid w:val="00EA105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A7FE0"/>
    <w:rsid w:val="00FD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Heading2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EndnoteText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EndnoteReference">
    <w:name w:val="Endnote Reference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Header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Footer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FootnoteText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FootnoteReference">
    <w:name w:val="Footnote Reference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rsid w:val="006B6ECC"/>
    <w:pPr>
      <w:spacing w:after="140" w:line="276" w:lineRule="auto"/>
    </w:pPr>
  </w:style>
  <w:style w:type="paragraph" w:styleId="afb">
    <w:name w:val="List"/>
    <w:basedOn w:val="afa"/>
    <w:rsid w:val="006B6ECC"/>
    <w:rPr>
      <w:rFonts w:cs="Noto Sans Devanagari"/>
    </w:rPr>
  </w:style>
  <w:style w:type="paragraph" w:customStyle="1" w:styleId="Caption">
    <w:name w:val="Caption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f9"/>
    <w:qFormat/>
    <w:rsid w:val="006B6ECC"/>
  </w:style>
  <w:style w:type="paragraph" w:styleId="afd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e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1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dnoteText">
    <w:name w:val="Endnote Text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6B6ECC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IndexHeading">
    <w:name w:val="Index Heading"/>
    <w:basedOn w:val="af9"/>
    <w:rsid w:val="006B6ECC"/>
  </w:style>
  <w:style w:type="paragraph" w:styleId="aff0">
    <w:name w:val="TOC Heading"/>
    <w:uiPriority w:val="39"/>
    <w:unhideWhenUsed/>
    <w:rsid w:val="006B6ECC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Колонтитул"/>
    <w:basedOn w:val="a"/>
    <w:qFormat/>
    <w:rsid w:val="006B6ECC"/>
  </w:style>
  <w:style w:type="paragraph" w:customStyle="1" w:styleId="Header">
    <w:name w:val="Header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FootnoteText">
    <w:name w:val="Footnote Text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4">
    <w:name w:val="Содержимое таблицы"/>
    <w:basedOn w:val="a"/>
    <w:qFormat/>
    <w:rsid w:val="006B6ECC"/>
    <w:pPr>
      <w:suppressLineNumbers/>
    </w:pPr>
  </w:style>
  <w:style w:type="paragraph" w:customStyle="1" w:styleId="aff5">
    <w:name w:val="Заголовок таблицы"/>
    <w:basedOn w:val="aff4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6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7">
    <w:name w:val="header"/>
    <w:basedOn w:val="a"/>
    <w:link w:val="12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8">
    <w:name w:val="footer"/>
    <w:basedOn w:val="a"/>
    <w:link w:val="13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8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6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7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0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0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9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5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5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3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3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7" Type="http://schemas.openxmlformats.org/officeDocument/2006/relationships/hyperlink" Target="consultantplus://offline/ref=A8D2407ABFD50DC7E34EA3844E9FDC90F1366CCA3ABE3F4F957AFE2EEB0B62B7F63D3C86926C60BCA3BF4F0A784BS8Q" TargetMode="External"/><Relationship Id="rId61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0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4F48E56F29D0C5F5C4AA288C644FA1A58303A6F45F57B14A0EE1C9B6FA56F35E9D32403589C41ADC21E733D4q7gBN" TargetMode="External"/><Relationship Id="rId14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5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3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4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8" Type="http://schemas.openxmlformats.org/officeDocument/2006/relationships/hyperlink" Target="consultantplus://offline/ref=054F48E56F29D0C5F5C4AA288C644FA1A08508AEF55057B14A0EE1C9B6FA56F35E9D32403589C41ADC21E733D4q7gBN" TargetMode="External"/><Relationship Id="rId51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7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9" Type="http://schemas.openxmlformats.org/officeDocument/2006/relationships/hyperlink" Target="consultantplus://offline/ref=A8D2407ABFD50DC7E34EA3844E9FDC90F13061CD3ABA3F4F957AFE2EEB0B62B7E43D648A916F7EB5A2AA195B3EEE4C997E9521336856E0C245S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429E-E9A6-4FE4-B43D-22F7118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2025-02-18T11:39:00Z</cp:lastPrinted>
  <dcterms:created xsi:type="dcterms:W3CDTF">2025-02-07T13:49:00Z</dcterms:created>
  <dcterms:modified xsi:type="dcterms:W3CDTF">2025-02-18T14:11:00Z</dcterms:modified>
  <dc:language>ru-RU</dc:language>
</cp:coreProperties>
</file>